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63" w:rsidRDefault="00686863" w:rsidP="00686863">
      <w:pPr>
        <w:ind w:hanging="568"/>
        <w:jc w:val="center"/>
        <w:rPr>
          <w:b/>
          <w:u w:val="single"/>
        </w:rPr>
      </w:pPr>
      <w:r>
        <w:rPr>
          <w:b/>
          <w:u w:val="single"/>
        </w:rPr>
        <w:t>Zasady opracowania porozumienia.</w:t>
      </w:r>
    </w:p>
    <w:p w:rsidR="00686863" w:rsidRPr="0029367E" w:rsidRDefault="00686863" w:rsidP="00686863">
      <w:pPr>
        <w:ind w:hanging="568"/>
        <w:jc w:val="center"/>
        <w:rPr>
          <w:b/>
          <w:u w:val="single"/>
        </w:rPr>
      </w:pPr>
    </w:p>
    <w:p w:rsidR="00686863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>
        <w:t>Druk „</w:t>
      </w:r>
      <w:r>
        <w:t>p</w:t>
      </w:r>
      <w:r>
        <w:t>orozumienia” obowiązuje od dnia 01 maja 2024 r.</w:t>
      </w:r>
      <w:r>
        <w:t xml:space="preserve"> Dotychczasowe</w:t>
      </w:r>
      <w:bookmarkStart w:id="0" w:name="_GoBack"/>
      <w:bookmarkEnd w:id="0"/>
      <w:r>
        <w:t xml:space="preserve"> porozumienia obowiązują do czasu określonego ich postanowieniami.</w:t>
      </w:r>
    </w:p>
    <w:p w:rsidR="00686863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>
        <w:t xml:space="preserve">Do Szefa Służby Kontrwywiadu Wojskowego należy kierować </w:t>
      </w:r>
      <w:r w:rsidRPr="00ED239D">
        <w:rPr>
          <w:u w:val="single"/>
        </w:rPr>
        <w:t>wyłącznie</w:t>
      </w:r>
      <w:r>
        <w:t xml:space="preserve"> wnioski w sprawie prowadzenia przez kancelarię tajną obsługi materiałów </w:t>
      </w:r>
      <w:r>
        <w:br/>
        <w:t>do klauzuli „Tajne” i „Ściśle Tajne” włącznie.</w:t>
      </w:r>
    </w:p>
    <w:p w:rsidR="00686863" w:rsidRPr="00F93871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 w:rsidRPr="00864129">
        <w:t>Sposób i tryb przetwarzania</w:t>
      </w:r>
      <w:r>
        <w:t xml:space="preserve">, w tym obsługi kancelaryjnej, </w:t>
      </w:r>
      <w:r w:rsidRPr="00864129">
        <w:t xml:space="preserve">informacji niejawnych </w:t>
      </w:r>
      <w:r w:rsidRPr="00F93871">
        <w:rPr>
          <w:u w:val="single"/>
        </w:rPr>
        <w:t>wyłącznie w zakresie</w:t>
      </w:r>
      <w:r w:rsidRPr="00864129">
        <w:t xml:space="preserve"> </w:t>
      </w:r>
      <w:r>
        <w:t xml:space="preserve">materiałów </w:t>
      </w:r>
      <w:r w:rsidRPr="00864129">
        <w:t xml:space="preserve">oznaczonych klauzulą „Zastrzeżone” </w:t>
      </w:r>
      <w:r>
        <w:br/>
      </w:r>
      <w:r w:rsidRPr="00864129">
        <w:t>i „Poufne”</w:t>
      </w:r>
      <w:r>
        <w:t>,</w:t>
      </w:r>
      <w:r w:rsidRPr="00864129">
        <w:t xml:space="preserve"> na poziomie jednostek organizacyjnych, określają samodzielnie kierownicy tych jednostek, jako odpowiedzialni za ich ochronę, </w:t>
      </w:r>
      <w:r>
        <w:br/>
      </w:r>
      <w:r w:rsidRPr="00864129">
        <w:t>a w szczególności za zorganizowanie i zapewnienie funkcjonowania tej ochrony.</w:t>
      </w:r>
    </w:p>
    <w:p w:rsidR="00686863" w:rsidRPr="00BB3506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  <w:rPr>
          <w:u w:val="single"/>
        </w:rPr>
      </w:pPr>
      <w:r w:rsidRPr="00BB3506">
        <w:rPr>
          <w:u w:val="single"/>
        </w:rPr>
        <w:t>Z wnioskiem o uzyskanie zgody na obsługę kancelaryjną, występuje jednostka która ma być objęta przedmiotową obsługą.</w:t>
      </w:r>
    </w:p>
    <w:p w:rsidR="00686863" w:rsidRPr="00F93871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 w:rsidRPr="00F93871">
        <w:rPr>
          <w:u w:val="single"/>
        </w:rPr>
        <w:t>Uzyskanie zgody na obsługę kancelaryjną, stanowi rozwiązanie alternatywne (tymczasowe) i nie zwalnia jednostki obsługiwanej z podjęcia czynności mających na celu uzyskanie pełnej samodzielności w zakresie zapewnienia zdolności do zarządzania obiegiem i dystrybucją informacjami niejawnymi.</w:t>
      </w:r>
    </w:p>
    <w:p w:rsidR="00686863" w:rsidRPr="00F93871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 w:rsidRPr="00686863">
        <w:t>Przesyłane porozumienia nie posiadające rzeczowego uzasadnienia, będą odsyłane</w:t>
      </w:r>
      <w:r w:rsidRPr="00F93871">
        <w:rPr>
          <w:u w:val="single"/>
        </w:rPr>
        <w:t xml:space="preserve"> bez rozpatrzenia.</w:t>
      </w:r>
    </w:p>
    <w:p w:rsidR="00686863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>
        <w:t xml:space="preserve">W celu uzyskania zgody Szefa SKW, w trybie art. 42 ust. 3 ustawy, należy: </w:t>
      </w:r>
    </w:p>
    <w:p w:rsidR="00686863" w:rsidRDefault="00686863" w:rsidP="00686863">
      <w:pPr>
        <w:pStyle w:val="Akapitzlist"/>
        <w:numPr>
          <w:ilvl w:val="0"/>
          <w:numId w:val="1"/>
        </w:numPr>
        <w:ind w:left="1134" w:hanging="284"/>
        <w:contextualSpacing w:val="0"/>
      </w:pPr>
      <w:r>
        <w:t xml:space="preserve">przesłać do SKW wniosek </w:t>
      </w:r>
      <w:r w:rsidRPr="00864129">
        <w:rPr>
          <w:u w:val="single"/>
        </w:rPr>
        <w:t>wraz z uzasadnieniem</w:t>
      </w:r>
      <w:r>
        <w:t>;</w:t>
      </w:r>
    </w:p>
    <w:p w:rsidR="00686863" w:rsidRDefault="00686863" w:rsidP="00686863">
      <w:pPr>
        <w:pStyle w:val="Akapitzlist"/>
        <w:numPr>
          <w:ilvl w:val="0"/>
          <w:numId w:val="1"/>
        </w:numPr>
        <w:spacing w:after="240"/>
        <w:ind w:left="1134" w:hanging="284"/>
        <w:contextualSpacing w:val="0"/>
      </w:pPr>
      <w:r>
        <w:t xml:space="preserve">dołączyć kopię porozumienia zawartego pomiędzy kierownikami jednostek organizacyjnych (opracowanego wg </w:t>
      </w:r>
      <w:proofErr w:type="spellStart"/>
      <w:r>
        <w:t>obowiązujacego</w:t>
      </w:r>
      <w:proofErr w:type="spellEnd"/>
      <w:r>
        <w:t xml:space="preserve"> wzoru w zakresie adekwatnym do potrzeb).</w:t>
      </w:r>
    </w:p>
    <w:p w:rsidR="004571DA" w:rsidRDefault="00686863" w:rsidP="00686863">
      <w:pPr>
        <w:pStyle w:val="Akapitzlist"/>
        <w:numPr>
          <w:ilvl w:val="0"/>
          <w:numId w:val="2"/>
        </w:numPr>
        <w:spacing w:after="240"/>
        <w:contextualSpacing w:val="0"/>
      </w:pPr>
      <w:r w:rsidRPr="008A6FF7">
        <w:t xml:space="preserve">W zakresie obsługi kancelaryjnej materiałów o klauzuli tajności „Ściśle Tajne” </w:t>
      </w:r>
      <w:r>
        <w:br/>
      </w:r>
      <w:r w:rsidRPr="008A6FF7">
        <w:t>i „Tajne” należy pamiętać, że zgodnie z art. 19 ust 2 pkt 2 ustawy, kierownicy jednostek organizacyjnych powinni posiadać wymagane przeszkolenie.</w:t>
      </w:r>
    </w:p>
    <w:sectPr w:rsidR="004571DA" w:rsidSect="007E2B76">
      <w:footerReference w:type="default" r:id="rId5"/>
      <w:pgSz w:w="11906" w:h="16838"/>
      <w:pgMar w:top="1304" w:right="1418" w:bottom="130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690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2B76" w:rsidRDefault="00686863">
            <w:pPr>
              <w:pStyle w:val="Stopka"/>
              <w:jc w:val="right"/>
            </w:pPr>
            <w:r>
              <w:rPr>
                <w:sz w:val="20"/>
                <w:szCs w:val="20"/>
              </w:rPr>
              <w:t>str.</w:t>
            </w:r>
            <w:r>
              <w:rPr>
                <w:sz w:val="20"/>
                <w:szCs w:val="20"/>
              </w:rPr>
              <w:t xml:space="preserve"> </w:t>
            </w:r>
            <w:r w:rsidRPr="007E2B76">
              <w:rPr>
                <w:bCs/>
                <w:sz w:val="20"/>
                <w:szCs w:val="20"/>
              </w:rPr>
              <w:fldChar w:fldCharType="begin"/>
            </w:r>
            <w:r w:rsidRPr="007E2B76">
              <w:rPr>
                <w:bCs/>
                <w:sz w:val="20"/>
                <w:szCs w:val="20"/>
              </w:rPr>
              <w:instrText>PAGE</w:instrText>
            </w:r>
            <w:r w:rsidRPr="007E2B7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E2B76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7E2B76">
              <w:rPr>
                <w:bCs/>
                <w:sz w:val="20"/>
                <w:szCs w:val="20"/>
              </w:rPr>
              <w:fldChar w:fldCharType="begin"/>
            </w:r>
            <w:r w:rsidRPr="007E2B76">
              <w:rPr>
                <w:bCs/>
                <w:sz w:val="20"/>
                <w:szCs w:val="20"/>
              </w:rPr>
              <w:instrText>NUMPAGES</w:instrText>
            </w:r>
            <w:r w:rsidRPr="007E2B7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9</w:t>
            </w:r>
            <w:r w:rsidRPr="007E2B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2B76" w:rsidRDefault="0068686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3366C"/>
    <w:multiLevelType w:val="hybridMultilevel"/>
    <w:tmpl w:val="F964237E"/>
    <w:lvl w:ilvl="0" w:tplc="CEBC846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76B07F66"/>
    <w:multiLevelType w:val="hybridMultilevel"/>
    <w:tmpl w:val="A006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63"/>
    <w:rsid w:val="004571DA"/>
    <w:rsid w:val="006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A1BC"/>
  <w15:chartTrackingRefBased/>
  <w15:docId w15:val="{81C292D9-4926-47B2-A480-10D9ECD5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863"/>
    <w:pPr>
      <w:spacing w:after="0" w:line="360" w:lineRule="auto"/>
      <w:ind w:left="568" w:hanging="284"/>
      <w:jc w:val="both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6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863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SKW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Strzyżewski Sylwester</dc:creator>
  <cp:keywords/>
  <dc:description/>
  <cp:lastModifiedBy>Strzyżewski Sylwester</cp:lastModifiedBy>
  <cp:revision>1</cp:revision>
  <dcterms:created xsi:type="dcterms:W3CDTF">2024-04-18T12:56:00Z</dcterms:created>
  <dcterms:modified xsi:type="dcterms:W3CDTF">2024-04-18T13:03:00Z</dcterms:modified>
</cp:coreProperties>
</file>